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261C48" w14:textId="77777777" w:rsidR="00C50292" w:rsidRDefault="00C50292" w:rsidP="00DA213A">
      <w:pPr>
        <w:spacing w:line="240" w:lineRule="auto"/>
        <w:rPr>
          <w:rFonts w:ascii="Times New Roman" w:hAnsi="Times New Roman" w:cs="Times New Roman"/>
          <w:sz w:val="24"/>
          <w:szCs w:val="24"/>
        </w:rPr>
      </w:pPr>
    </w:p>
    <w:p w14:paraId="1A17EE45" w14:textId="77777777" w:rsidR="00C50292" w:rsidRDefault="00C50292" w:rsidP="00DA213A">
      <w:pPr>
        <w:spacing w:line="240" w:lineRule="auto"/>
        <w:rPr>
          <w:rFonts w:ascii="Times New Roman" w:hAnsi="Times New Roman" w:cs="Times New Roman"/>
          <w:sz w:val="24"/>
          <w:szCs w:val="24"/>
        </w:rPr>
      </w:pPr>
    </w:p>
    <w:p w14:paraId="231C8710" w14:textId="77777777" w:rsidR="00C50292" w:rsidRDefault="00C50292" w:rsidP="00DA213A">
      <w:pPr>
        <w:spacing w:line="240" w:lineRule="auto"/>
        <w:rPr>
          <w:rFonts w:ascii="Times New Roman" w:hAnsi="Times New Roman" w:cs="Times New Roman"/>
          <w:sz w:val="24"/>
          <w:szCs w:val="24"/>
        </w:rPr>
      </w:pPr>
    </w:p>
    <w:p w14:paraId="18763AEB" w14:textId="77777777" w:rsidR="00C50292" w:rsidRDefault="00C50292" w:rsidP="00DA213A">
      <w:pPr>
        <w:spacing w:line="240" w:lineRule="auto"/>
        <w:rPr>
          <w:rFonts w:ascii="Times New Roman" w:hAnsi="Times New Roman" w:cs="Times New Roman"/>
          <w:sz w:val="24"/>
          <w:szCs w:val="24"/>
        </w:rPr>
      </w:pPr>
    </w:p>
    <w:p w14:paraId="0ABF1580" w14:textId="77777777" w:rsidR="00C50292" w:rsidRDefault="00C50292" w:rsidP="00DA213A">
      <w:pPr>
        <w:spacing w:line="240" w:lineRule="auto"/>
        <w:rPr>
          <w:rFonts w:ascii="Times New Roman" w:hAnsi="Times New Roman" w:cs="Times New Roman"/>
          <w:sz w:val="24"/>
          <w:szCs w:val="24"/>
        </w:rPr>
      </w:pPr>
    </w:p>
    <w:p w14:paraId="5FA897F4" w14:textId="77777777" w:rsidR="00C50292" w:rsidRDefault="00C50292" w:rsidP="00C50292">
      <w:pPr>
        <w:spacing w:line="240" w:lineRule="auto"/>
        <w:jc w:val="center"/>
        <w:rPr>
          <w:rFonts w:ascii="Times New Roman" w:hAnsi="Times New Roman" w:cs="Times New Roman"/>
          <w:sz w:val="24"/>
          <w:szCs w:val="24"/>
        </w:rPr>
      </w:pPr>
    </w:p>
    <w:p w14:paraId="61DA5E47" w14:textId="77777777" w:rsidR="00C50292" w:rsidRDefault="00C50292" w:rsidP="00C50292">
      <w:pPr>
        <w:spacing w:line="240" w:lineRule="auto"/>
        <w:jc w:val="center"/>
        <w:rPr>
          <w:rFonts w:ascii="Times New Roman" w:hAnsi="Times New Roman" w:cs="Times New Roman"/>
          <w:sz w:val="24"/>
          <w:szCs w:val="24"/>
        </w:rPr>
      </w:pPr>
    </w:p>
    <w:p w14:paraId="115FC68D" w14:textId="77777777" w:rsidR="00C50292" w:rsidRDefault="00C50292" w:rsidP="00C50292">
      <w:pPr>
        <w:tabs>
          <w:tab w:val="left" w:pos="1110"/>
        </w:tabs>
        <w:spacing w:after="0" w:line="480" w:lineRule="auto"/>
        <w:contextualSpacing/>
        <w:jc w:val="center"/>
        <w:rPr>
          <w:rFonts w:ascii="Times New Roman" w:hAnsi="Times New Roman" w:cs="Times New Roman"/>
          <w:sz w:val="24"/>
          <w:szCs w:val="24"/>
        </w:rPr>
      </w:pPr>
    </w:p>
    <w:p w14:paraId="2250D342" w14:textId="77777777" w:rsidR="00C50292" w:rsidRDefault="00C50292" w:rsidP="00C50292">
      <w:pPr>
        <w:tabs>
          <w:tab w:val="left" w:pos="1110"/>
        </w:tabs>
        <w:spacing w:after="0" w:line="480" w:lineRule="auto"/>
        <w:contextualSpacing/>
        <w:jc w:val="center"/>
        <w:rPr>
          <w:rFonts w:ascii="Times New Roman" w:hAnsi="Times New Roman" w:cs="Times New Roman"/>
          <w:sz w:val="24"/>
          <w:szCs w:val="24"/>
        </w:rPr>
      </w:pPr>
    </w:p>
    <w:p w14:paraId="11C5621F" w14:textId="77777777" w:rsidR="00C50292" w:rsidRDefault="00C50292" w:rsidP="00C50292">
      <w:pPr>
        <w:tabs>
          <w:tab w:val="left" w:pos="1110"/>
        </w:tabs>
        <w:spacing w:after="0" w:line="480" w:lineRule="auto"/>
        <w:contextualSpacing/>
        <w:jc w:val="center"/>
        <w:rPr>
          <w:rFonts w:ascii="Times New Roman" w:hAnsi="Times New Roman" w:cs="Times New Roman"/>
          <w:sz w:val="24"/>
          <w:szCs w:val="24"/>
        </w:rPr>
      </w:pPr>
    </w:p>
    <w:p w14:paraId="5C51FC40" w14:textId="77777777" w:rsidR="00C50292" w:rsidRDefault="00C50292" w:rsidP="00C50292">
      <w:pPr>
        <w:tabs>
          <w:tab w:val="left" w:pos="1110"/>
        </w:tabs>
        <w:spacing w:after="0" w:line="480" w:lineRule="auto"/>
        <w:contextualSpacing/>
        <w:jc w:val="center"/>
        <w:rPr>
          <w:rFonts w:ascii="Times New Roman" w:hAnsi="Times New Roman" w:cs="Times New Roman"/>
          <w:sz w:val="24"/>
          <w:szCs w:val="24"/>
        </w:rPr>
      </w:pPr>
    </w:p>
    <w:p w14:paraId="50471DE8" w14:textId="77777777" w:rsidR="00C50292" w:rsidRDefault="00C50292" w:rsidP="00C50292">
      <w:pPr>
        <w:tabs>
          <w:tab w:val="left" w:pos="1110"/>
        </w:tabs>
        <w:spacing w:after="0" w:line="480" w:lineRule="auto"/>
        <w:contextualSpacing/>
        <w:jc w:val="center"/>
        <w:rPr>
          <w:rFonts w:ascii="Times New Roman" w:hAnsi="Times New Roman" w:cs="Times New Roman"/>
          <w:sz w:val="24"/>
          <w:szCs w:val="24"/>
        </w:rPr>
      </w:pPr>
    </w:p>
    <w:p w14:paraId="53533462" w14:textId="77777777" w:rsidR="00C50292" w:rsidRDefault="00C50292" w:rsidP="00C50292">
      <w:pPr>
        <w:tabs>
          <w:tab w:val="left" w:pos="1110"/>
        </w:tabs>
        <w:spacing w:after="0" w:line="480" w:lineRule="auto"/>
        <w:contextualSpacing/>
        <w:jc w:val="center"/>
        <w:rPr>
          <w:rFonts w:ascii="Times New Roman" w:hAnsi="Times New Roman" w:cs="Times New Roman"/>
          <w:sz w:val="24"/>
          <w:szCs w:val="24"/>
        </w:rPr>
      </w:pPr>
    </w:p>
    <w:p w14:paraId="3A0D6B0B" w14:textId="77777777" w:rsidR="00C50292" w:rsidRDefault="00C50292" w:rsidP="00C50292">
      <w:pPr>
        <w:tabs>
          <w:tab w:val="left" w:pos="1110"/>
        </w:tabs>
        <w:spacing w:after="0" w:line="480" w:lineRule="auto"/>
        <w:contextualSpacing/>
        <w:jc w:val="center"/>
        <w:rPr>
          <w:rFonts w:ascii="Times New Roman" w:hAnsi="Times New Roman" w:cs="Times New Roman"/>
          <w:sz w:val="24"/>
          <w:szCs w:val="24"/>
        </w:rPr>
      </w:pPr>
    </w:p>
    <w:p w14:paraId="2FD05DDD" w14:textId="77777777" w:rsidR="00C50292" w:rsidRDefault="00C50292" w:rsidP="00C50292">
      <w:pPr>
        <w:tabs>
          <w:tab w:val="left" w:pos="111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Internal Revenue Codes</w:t>
      </w:r>
    </w:p>
    <w:p w14:paraId="67ADAB18" w14:textId="77777777" w:rsidR="00C50292" w:rsidRPr="00387873" w:rsidRDefault="00C50292" w:rsidP="00C50292">
      <w:pPr>
        <w:tabs>
          <w:tab w:val="left" w:pos="1110"/>
        </w:tabs>
        <w:spacing w:after="0" w:line="480" w:lineRule="auto"/>
        <w:contextualSpacing/>
        <w:jc w:val="center"/>
        <w:rPr>
          <w:rFonts w:ascii="Times New Roman" w:hAnsi="Times New Roman" w:cs="Times New Roman"/>
          <w:sz w:val="24"/>
          <w:szCs w:val="24"/>
        </w:rPr>
      </w:pPr>
      <w:r w:rsidRPr="00387873">
        <w:rPr>
          <w:rFonts w:ascii="Times New Roman" w:hAnsi="Times New Roman" w:cs="Times New Roman"/>
          <w:sz w:val="24"/>
          <w:szCs w:val="24"/>
        </w:rPr>
        <w:t>Student’s Name</w:t>
      </w:r>
    </w:p>
    <w:p w14:paraId="0C89A052" w14:textId="77777777" w:rsidR="00C50292" w:rsidRPr="00387873" w:rsidRDefault="00C50292" w:rsidP="00C50292">
      <w:pPr>
        <w:tabs>
          <w:tab w:val="left" w:pos="1110"/>
        </w:tabs>
        <w:spacing w:after="0" w:line="480" w:lineRule="auto"/>
        <w:contextualSpacing/>
        <w:jc w:val="center"/>
        <w:rPr>
          <w:rFonts w:ascii="Times New Roman" w:hAnsi="Times New Roman" w:cs="Times New Roman"/>
          <w:sz w:val="24"/>
          <w:szCs w:val="24"/>
        </w:rPr>
      </w:pPr>
      <w:r w:rsidRPr="00387873">
        <w:rPr>
          <w:rFonts w:ascii="Times New Roman" w:hAnsi="Times New Roman" w:cs="Times New Roman"/>
          <w:sz w:val="24"/>
          <w:szCs w:val="24"/>
        </w:rPr>
        <w:t>Institutional Affiliation</w:t>
      </w:r>
    </w:p>
    <w:p w14:paraId="16D83326" w14:textId="77777777" w:rsidR="00C50292" w:rsidRDefault="00C50292" w:rsidP="00DA213A">
      <w:pPr>
        <w:spacing w:line="240" w:lineRule="auto"/>
        <w:rPr>
          <w:rFonts w:ascii="Times New Roman" w:hAnsi="Times New Roman" w:cs="Times New Roman"/>
          <w:sz w:val="24"/>
          <w:szCs w:val="24"/>
        </w:rPr>
      </w:pPr>
    </w:p>
    <w:p w14:paraId="7F2EE59C" w14:textId="77777777" w:rsidR="00C50292" w:rsidRDefault="00C50292" w:rsidP="00DA213A">
      <w:pPr>
        <w:spacing w:line="240" w:lineRule="auto"/>
        <w:rPr>
          <w:rFonts w:ascii="Times New Roman" w:hAnsi="Times New Roman" w:cs="Times New Roman"/>
          <w:sz w:val="24"/>
          <w:szCs w:val="24"/>
        </w:rPr>
      </w:pPr>
    </w:p>
    <w:p w14:paraId="452B8357" w14:textId="77777777" w:rsidR="00C50292" w:rsidRDefault="00C50292" w:rsidP="00DA213A">
      <w:pPr>
        <w:spacing w:line="240" w:lineRule="auto"/>
        <w:rPr>
          <w:rFonts w:ascii="Times New Roman" w:hAnsi="Times New Roman" w:cs="Times New Roman"/>
          <w:sz w:val="24"/>
          <w:szCs w:val="24"/>
        </w:rPr>
      </w:pPr>
    </w:p>
    <w:p w14:paraId="315A6936" w14:textId="77777777" w:rsidR="00C50292" w:rsidRDefault="00C50292" w:rsidP="00DA213A">
      <w:pPr>
        <w:spacing w:line="240" w:lineRule="auto"/>
        <w:rPr>
          <w:rFonts w:ascii="Times New Roman" w:hAnsi="Times New Roman" w:cs="Times New Roman"/>
          <w:sz w:val="24"/>
          <w:szCs w:val="24"/>
        </w:rPr>
      </w:pPr>
    </w:p>
    <w:p w14:paraId="748316D4" w14:textId="77777777" w:rsidR="00C50292" w:rsidRDefault="00C50292" w:rsidP="00DA213A">
      <w:pPr>
        <w:spacing w:line="240" w:lineRule="auto"/>
        <w:rPr>
          <w:rFonts w:ascii="Times New Roman" w:hAnsi="Times New Roman" w:cs="Times New Roman"/>
          <w:sz w:val="24"/>
          <w:szCs w:val="24"/>
        </w:rPr>
      </w:pPr>
    </w:p>
    <w:p w14:paraId="640FB787" w14:textId="77777777" w:rsidR="00C50292" w:rsidRDefault="00C50292" w:rsidP="00DA213A">
      <w:pPr>
        <w:spacing w:line="240" w:lineRule="auto"/>
        <w:rPr>
          <w:rFonts w:ascii="Times New Roman" w:hAnsi="Times New Roman" w:cs="Times New Roman"/>
          <w:sz w:val="24"/>
          <w:szCs w:val="24"/>
        </w:rPr>
      </w:pPr>
    </w:p>
    <w:p w14:paraId="4A00A144" w14:textId="77777777" w:rsidR="00C50292" w:rsidRDefault="00C50292" w:rsidP="00DA213A">
      <w:pPr>
        <w:spacing w:line="240" w:lineRule="auto"/>
        <w:rPr>
          <w:rFonts w:ascii="Times New Roman" w:hAnsi="Times New Roman" w:cs="Times New Roman"/>
          <w:sz w:val="24"/>
          <w:szCs w:val="24"/>
        </w:rPr>
      </w:pPr>
    </w:p>
    <w:p w14:paraId="153784C6" w14:textId="77777777" w:rsidR="00C50292" w:rsidRDefault="00C50292" w:rsidP="00DA213A">
      <w:pPr>
        <w:spacing w:line="240" w:lineRule="auto"/>
        <w:rPr>
          <w:rFonts w:ascii="Times New Roman" w:hAnsi="Times New Roman" w:cs="Times New Roman"/>
          <w:sz w:val="24"/>
          <w:szCs w:val="24"/>
        </w:rPr>
      </w:pPr>
    </w:p>
    <w:p w14:paraId="0DED55F5" w14:textId="77777777" w:rsidR="00C50292" w:rsidRDefault="00C50292" w:rsidP="00DA213A">
      <w:pPr>
        <w:spacing w:line="240" w:lineRule="auto"/>
        <w:rPr>
          <w:rFonts w:ascii="Times New Roman" w:hAnsi="Times New Roman" w:cs="Times New Roman"/>
          <w:sz w:val="24"/>
          <w:szCs w:val="24"/>
        </w:rPr>
      </w:pPr>
    </w:p>
    <w:p w14:paraId="65074A0E" w14:textId="77777777" w:rsidR="00C50292" w:rsidRDefault="00C50292" w:rsidP="00DA213A">
      <w:pPr>
        <w:spacing w:line="240" w:lineRule="auto"/>
        <w:rPr>
          <w:rFonts w:ascii="Times New Roman" w:hAnsi="Times New Roman" w:cs="Times New Roman"/>
          <w:sz w:val="24"/>
          <w:szCs w:val="24"/>
        </w:rPr>
      </w:pPr>
    </w:p>
    <w:p w14:paraId="63B0E1D0" w14:textId="77777777" w:rsidR="00C50292" w:rsidRDefault="00C50292" w:rsidP="00DA213A">
      <w:pPr>
        <w:spacing w:line="240" w:lineRule="auto"/>
        <w:rPr>
          <w:rFonts w:ascii="Times New Roman" w:hAnsi="Times New Roman" w:cs="Times New Roman"/>
          <w:sz w:val="24"/>
          <w:szCs w:val="24"/>
        </w:rPr>
      </w:pPr>
    </w:p>
    <w:p w14:paraId="13D3C387" w14:textId="77777777" w:rsidR="00C50292" w:rsidRDefault="00C50292" w:rsidP="00DA213A">
      <w:pPr>
        <w:spacing w:line="240" w:lineRule="auto"/>
        <w:rPr>
          <w:rFonts w:ascii="Times New Roman" w:hAnsi="Times New Roman" w:cs="Times New Roman"/>
          <w:sz w:val="24"/>
          <w:szCs w:val="24"/>
        </w:rPr>
      </w:pPr>
    </w:p>
    <w:p w14:paraId="3E00D926" w14:textId="77777777" w:rsidR="00C50292" w:rsidRDefault="00C50292" w:rsidP="00C50292">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Internal Revenue Codes</w:t>
      </w:r>
    </w:p>
    <w:p w14:paraId="41976F1B" w14:textId="22131D88" w:rsidR="00CD476E" w:rsidRPr="00C50292" w:rsidRDefault="00DA213A" w:rsidP="00403D75">
      <w:pPr>
        <w:spacing w:line="240" w:lineRule="auto"/>
        <w:ind w:firstLine="720"/>
        <w:jc w:val="both"/>
        <w:rPr>
          <w:rFonts w:ascii="Times New Roman" w:hAnsi="Times New Roman" w:cs="Times New Roman"/>
          <w:sz w:val="24"/>
          <w:szCs w:val="24"/>
        </w:rPr>
      </w:pPr>
      <w:r w:rsidRPr="00C50292">
        <w:rPr>
          <w:rFonts w:ascii="Times New Roman" w:hAnsi="Times New Roman" w:cs="Times New Roman"/>
          <w:sz w:val="24"/>
          <w:szCs w:val="24"/>
        </w:rPr>
        <w:t>The Internal Revenue Code (IRC) is the local portion of federal legal tax law in the U.S. This law was approved by Congress that stipulates the amount of income to be taxed, as well as the amount to deduct from taxable income</w:t>
      </w:r>
      <w:r w:rsidR="00E6072B">
        <w:rPr>
          <w:rFonts w:ascii="Times New Roman" w:hAnsi="Times New Roman" w:cs="Times New Roman"/>
          <w:sz w:val="24"/>
          <w:szCs w:val="24"/>
        </w:rPr>
        <w:t xml:space="preserve"> (</w:t>
      </w:r>
      <w:r w:rsidR="00E6072B">
        <w:rPr>
          <w:rFonts w:ascii="Times New Roman" w:hAnsi="Times New Roman" w:cs="Times New Roman"/>
          <w:color w:val="222222"/>
          <w:sz w:val="24"/>
          <w:szCs w:val="24"/>
          <w:shd w:val="clear" w:color="auto" w:fill="FFFFFF"/>
        </w:rPr>
        <w:t>Roberts, 2017)</w:t>
      </w:r>
      <w:r w:rsidRPr="00C50292">
        <w:rPr>
          <w:rFonts w:ascii="Times New Roman" w:hAnsi="Times New Roman" w:cs="Times New Roman"/>
          <w:sz w:val="24"/>
          <w:szCs w:val="24"/>
        </w:rPr>
        <w:t>. It is structured into subtitles and sections. Section 531 entails the imposition of accrued earnings tax, which applies to every corporation apart from those outlined by the law. In other words, this tax is imposed on the companies with retained earnings considered to be unreasonable. According to section 532, only specific corporations are subject to accumulated earnings tax. However, this law permits exception of the corporations such</w:t>
      </w:r>
      <w:r w:rsidR="007F154E" w:rsidRPr="00C50292">
        <w:rPr>
          <w:rFonts w:ascii="Times New Roman" w:hAnsi="Times New Roman" w:cs="Times New Roman"/>
          <w:sz w:val="24"/>
          <w:szCs w:val="24"/>
        </w:rPr>
        <w:t xml:space="preserve"> private and</w:t>
      </w:r>
      <w:r w:rsidR="00B00AB9" w:rsidRPr="00C50292">
        <w:rPr>
          <w:rFonts w:ascii="Times New Roman" w:hAnsi="Times New Roman" w:cs="Times New Roman"/>
          <w:sz w:val="24"/>
          <w:szCs w:val="24"/>
        </w:rPr>
        <w:t xml:space="preserve"> foreign </w:t>
      </w:r>
      <w:r w:rsidR="007F154E" w:rsidRPr="00C50292">
        <w:rPr>
          <w:rFonts w:ascii="Times New Roman" w:hAnsi="Times New Roman" w:cs="Times New Roman"/>
          <w:sz w:val="24"/>
          <w:szCs w:val="24"/>
        </w:rPr>
        <w:t>venture, as well as</w:t>
      </w:r>
      <w:r w:rsidRPr="00C50292">
        <w:rPr>
          <w:rFonts w:ascii="Times New Roman" w:hAnsi="Times New Roman" w:cs="Times New Roman"/>
          <w:sz w:val="24"/>
          <w:szCs w:val="24"/>
        </w:rPr>
        <w:t xml:space="preserve"> </w:t>
      </w:r>
      <w:r w:rsidR="007F154E" w:rsidRPr="00C50292">
        <w:rPr>
          <w:rFonts w:ascii="Times New Roman" w:hAnsi="Times New Roman" w:cs="Times New Roman"/>
          <w:sz w:val="24"/>
          <w:szCs w:val="24"/>
        </w:rPr>
        <w:t>company</w:t>
      </w:r>
      <w:r w:rsidRPr="00C50292">
        <w:rPr>
          <w:rFonts w:ascii="Times New Roman" w:hAnsi="Times New Roman" w:cs="Times New Roman"/>
          <w:sz w:val="24"/>
          <w:szCs w:val="24"/>
        </w:rPr>
        <w:t xml:space="preserve"> exempt from tax under subchapter F. Further, section 533 encompasses proof of the purpose to evade income tax. This ruling is based on the fact that corporations are allowed to accumulate retained earnings, which forms a base for the purpose to avoid income tax with regard to shareholders. Also, this section enables the holding and Investment Corporation to avoid income tax. Section 534 is based on the burden of proof, whose general rule indicates that the burden of proof shall be enforceable if the notification has not been submitted in accordance to subsection (b), or if the taxpayer has not surrendered to the statement stated in subsection (c). Section 535 involves accrued taxable income. According to this section, adjustments of taxable income shall be made based on the deductions of taxes, charitable contr</w:t>
      </w:r>
      <w:r w:rsidR="007F154E" w:rsidRPr="00C50292">
        <w:rPr>
          <w:rFonts w:ascii="Times New Roman" w:hAnsi="Times New Roman" w:cs="Times New Roman"/>
          <w:sz w:val="24"/>
          <w:szCs w:val="24"/>
        </w:rPr>
        <w:t>ibutions, exceptional subtractions</w:t>
      </w:r>
      <w:r w:rsidRPr="00C50292">
        <w:rPr>
          <w:rFonts w:ascii="Times New Roman" w:hAnsi="Times New Roman" w:cs="Times New Roman"/>
          <w:sz w:val="24"/>
          <w:szCs w:val="24"/>
        </w:rPr>
        <w:t xml:space="preserve"> </w:t>
      </w:r>
      <w:r w:rsidR="007F154E" w:rsidRPr="00C50292">
        <w:rPr>
          <w:rFonts w:ascii="Times New Roman" w:hAnsi="Times New Roman" w:cs="Times New Roman"/>
          <w:sz w:val="24"/>
          <w:szCs w:val="24"/>
        </w:rPr>
        <w:t>prohibited, net and investment</w:t>
      </w:r>
      <w:r w:rsidRPr="00C50292">
        <w:rPr>
          <w:rFonts w:ascii="Times New Roman" w:hAnsi="Times New Roman" w:cs="Times New Roman"/>
          <w:sz w:val="24"/>
          <w:szCs w:val="24"/>
        </w:rPr>
        <w:t xml:space="preserve"> losses, net capit</w:t>
      </w:r>
      <w:r w:rsidR="007F154E" w:rsidRPr="00C50292">
        <w:rPr>
          <w:rFonts w:ascii="Times New Roman" w:hAnsi="Times New Roman" w:cs="Times New Roman"/>
          <w:sz w:val="24"/>
          <w:szCs w:val="24"/>
        </w:rPr>
        <w:t>al gains, capital loss carry forward, exceptional</w:t>
      </w:r>
      <w:r w:rsidRPr="00C50292">
        <w:rPr>
          <w:rFonts w:ascii="Times New Roman" w:hAnsi="Times New Roman" w:cs="Times New Roman"/>
          <w:sz w:val="24"/>
          <w:szCs w:val="24"/>
        </w:rPr>
        <w:t xml:space="preserve"> rules for </w:t>
      </w:r>
      <w:r w:rsidR="007F154E" w:rsidRPr="00C50292">
        <w:rPr>
          <w:rFonts w:ascii="Times New Roman" w:hAnsi="Times New Roman" w:cs="Times New Roman"/>
          <w:sz w:val="24"/>
          <w:szCs w:val="24"/>
        </w:rPr>
        <w:t>meagre</w:t>
      </w:r>
      <w:r w:rsidRPr="00C50292">
        <w:rPr>
          <w:rFonts w:ascii="Times New Roman" w:hAnsi="Times New Roman" w:cs="Times New Roman"/>
          <w:sz w:val="24"/>
          <w:szCs w:val="24"/>
        </w:rPr>
        <w:t xml:space="preserve"> holding and </w:t>
      </w:r>
      <w:r w:rsidR="007F154E" w:rsidRPr="00C50292">
        <w:rPr>
          <w:rFonts w:ascii="Times New Roman" w:hAnsi="Times New Roman" w:cs="Times New Roman"/>
          <w:sz w:val="24"/>
          <w:szCs w:val="24"/>
        </w:rPr>
        <w:t>principal</w:t>
      </w:r>
      <w:r w:rsidRPr="00C50292">
        <w:rPr>
          <w:rFonts w:ascii="Times New Roman" w:hAnsi="Times New Roman" w:cs="Times New Roman"/>
          <w:sz w:val="24"/>
          <w:szCs w:val="24"/>
        </w:rPr>
        <w:t xml:space="preserve"> gains and losses of foreign </w:t>
      </w:r>
      <w:r w:rsidR="007F154E" w:rsidRPr="00C50292">
        <w:rPr>
          <w:rFonts w:ascii="Times New Roman" w:hAnsi="Times New Roman" w:cs="Times New Roman"/>
          <w:sz w:val="24"/>
          <w:szCs w:val="24"/>
        </w:rPr>
        <w:t>companies</w:t>
      </w:r>
      <w:r w:rsidRPr="00C50292">
        <w:rPr>
          <w:rFonts w:ascii="Times New Roman" w:hAnsi="Times New Roman" w:cs="Times New Roman"/>
          <w:sz w:val="24"/>
          <w:szCs w:val="24"/>
        </w:rPr>
        <w:t xml:space="preserve">, and </w:t>
      </w:r>
      <w:r w:rsidR="007F154E" w:rsidRPr="00C50292">
        <w:rPr>
          <w:rFonts w:ascii="Times New Roman" w:hAnsi="Times New Roman" w:cs="Times New Roman"/>
          <w:sz w:val="24"/>
          <w:szCs w:val="24"/>
        </w:rPr>
        <w:t>regulated</w:t>
      </w:r>
      <w:r w:rsidRPr="00C50292">
        <w:rPr>
          <w:rFonts w:ascii="Times New Roman" w:hAnsi="Times New Roman" w:cs="Times New Roman"/>
          <w:sz w:val="24"/>
          <w:szCs w:val="24"/>
        </w:rPr>
        <w:t xml:space="preserve"> foreign </w:t>
      </w:r>
      <w:r w:rsidR="007F154E" w:rsidRPr="00C50292">
        <w:rPr>
          <w:rFonts w:ascii="Times New Roman" w:hAnsi="Times New Roman" w:cs="Times New Roman"/>
          <w:sz w:val="24"/>
          <w:szCs w:val="24"/>
        </w:rPr>
        <w:t>businesses</w:t>
      </w:r>
      <w:r w:rsidRPr="00C50292">
        <w:rPr>
          <w:rFonts w:ascii="Times New Roman" w:hAnsi="Times New Roman" w:cs="Times New Roman"/>
          <w:sz w:val="24"/>
          <w:szCs w:val="24"/>
        </w:rPr>
        <w:t>. Section 536 covers the income not placed on an annual basis and should not be incorporated during the computation of the accrued earnings tax</w:t>
      </w:r>
      <w:r w:rsidR="00403D75">
        <w:rPr>
          <w:rFonts w:ascii="Times New Roman" w:hAnsi="Times New Roman" w:cs="Times New Roman"/>
          <w:sz w:val="24"/>
          <w:szCs w:val="24"/>
        </w:rPr>
        <w:t xml:space="preserve"> </w:t>
      </w:r>
      <w:r w:rsidR="00403D75">
        <w:rPr>
          <w:rFonts w:ascii="Times New Roman" w:hAnsi="Times New Roman" w:cs="Times New Roman"/>
          <w:sz w:val="24"/>
          <w:szCs w:val="24"/>
        </w:rPr>
        <w:t>(</w:t>
      </w:r>
      <w:r w:rsidR="00403D75">
        <w:rPr>
          <w:rFonts w:ascii="Times New Roman" w:hAnsi="Times New Roman" w:cs="Times New Roman"/>
          <w:color w:val="222222"/>
          <w:sz w:val="24"/>
          <w:szCs w:val="24"/>
          <w:shd w:val="clear" w:color="auto" w:fill="FFFFFF"/>
        </w:rPr>
        <w:t>Roberts, 2017)</w:t>
      </w:r>
      <w:bookmarkStart w:id="0" w:name="_GoBack"/>
      <w:bookmarkEnd w:id="0"/>
      <w:r w:rsidRPr="00C50292">
        <w:rPr>
          <w:rFonts w:ascii="Times New Roman" w:hAnsi="Times New Roman" w:cs="Times New Roman"/>
          <w:sz w:val="24"/>
          <w:szCs w:val="24"/>
        </w:rPr>
        <w:t xml:space="preserve">. Ultimately, section 537 comprises rational requirements of the business. According to the ruling of this section, business needs include redemption needs, additional business holding redemption needs, obligation experienced to make redemptions, product liability loss reserves, and there should be no interference as to previous taxable years.  </w:t>
      </w:r>
    </w:p>
    <w:p w14:paraId="698E32A7" w14:textId="77777777" w:rsidR="00C50292" w:rsidRPr="00C50292" w:rsidRDefault="00C50292" w:rsidP="00DA213A">
      <w:pPr>
        <w:spacing w:line="240" w:lineRule="auto"/>
        <w:rPr>
          <w:rFonts w:ascii="Times New Roman" w:hAnsi="Times New Roman" w:cs="Times New Roman"/>
          <w:sz w:val="24"/>
          <w:szCs w:val="24"/>
        </w:rPr>
      </w:pPr>
    </w:p>
    <w:p w14:paraId="0F3A1453" w14:textId="77777777" w:rsidR="00C50292" w:rsidRPr="00C50292" w:rsidRDefault="00C50292" w:rsidP="00DA213A">
      <w:pPr>
        <w:spacing w:line="240" w:lineRule="auto"/>
        <w:rPr>
          <w:rFonts w:ascii="Times New Roman" w:hAnsi="Times New Roman" w:cs="Times New Roman"/>
          <w:sz w:val="24"/>
          <w:szCs w:val="24"/>
        </w:rPr>
      </w:pPr>
    </w:p>
    <w:p w14:paraId="422A7DF5" w14:textId="77777777" w:rsidR="00C50292" w:rsidRPr="00C50292" w:rsidRDefault="00C50292" w:rsidP="00DA213A">
      <w:pPr>
        <w:spacing w:line="240" w:lineRule="auto"/>
        <w:rPr>
          <w:rFonts w:ascii="Times New Roman" w:hAnsi="Times New Roman" w:cs="Times New Roman"/>
          <w:sz w:val="24"/>
          <w:szCs w:val="24"/>
        </w:rPr>
      </w:pPr>
    </w:p>
    <w:p w14:paraId="732EF69E" w14:textId="77777777" w:rsidR="00C50292" w:rsidRDefault="00C50292" w:rsidP="00C50292">
      <w:pPr>
        <w:spacing w:line="240" w:lineRule="auto"/>
        <w:rPr>
          <w:rFonts w:ascii="Times New Roman" w:hAnsi="Times New Roman" w:cs="Times New Roman"/>
          <w:sz w:val="24"/>
          <w:szCs w:val="24"/>
        </w:rPr>
      </w:pPr>
    </w:p>
    <w:p w14:paraId="6BB80AB3" w14:textId="77777777" w:rsidR="00E6072B" w:rsidRDefault="00E6072B" w:rsidP="00C50292">
      <w:pPr>
        <w:spacing w:line="240" w:lineRule="auto"/>
        <w:jc w:val="center"/>
        <w:rPr>
          <w:rFonts w:ascii="Times New Roman" w:hAnsi="Times New Roman" w:cs="Times New Roman"/>
          <w:sz w:val="24"/>
          <w:szCs w:val="24"/>
        </w:rPr>
      </w:pPr>
    </w:p>
    <w:p w14:paraId="0E7F663F" w14:textId="77777777" w:rsidR="00E6072B" w:rsidRDefault="00E6072B" w:rsidP="00C50292">
      <w:pPr>
        <w:spacing w:line="240" w:lineRule="auto"/>
        <w:jc w:val="center"/>
        <w:rPr>
          <w:rFonts w:ascii="Times New Roman" w:hAnsi="Times New Roman" w:cs="Times New Roman"/>
          <w:sz w:val="24"/>
          <w:szCs w:val="24"/>
        </w:rPr>
      </w:pPr>
    </w:p>
    <w:p w14:paraId="4882440C" w14:textId="77777777" w:rsidR="00E6072B" w:rsidRDefault="00E6072B" w:rsidP="00C50292">
      <w:pPr>
        <w:spacing w:line="240" w:lineRule="auto"/>
        <w:jc w:val="center"/>
        <w:rPr>
          <w:rFonts w:ascii="Times New Roman" w:hAnsi="Times New Roman" w:cs="Times New Roman"/>
          <w:sz w:val="24"/>
          <w:szCs w:val="24"/>
        </w:rPr>
      </w:pPr>
    </w:p>
    <w:p w14:paraId="48794CF0" w14:textId="77777777" w:rsidR="00E6072B" w:rsidRDefault="00E6072B" w:rsidP="00C50292">
      <w:pPr>
        <w:spacing w:line="240" w:lineRule="auto"/>
        <w:jc w:val="center"/>
        <w:rPr>
          <w:rFonts w:ascii="Times New Roman" w:hAnsi="Times New Roman" w:cs="Times New Roman"/>
          <w:sz w:val="24"/>
          <w:szCs w:val="24"/>
        </w:rPr>
      </w:pPr>
    </w:p>
    <w:p w14:paraId="70895F16" w14:textId="77777777" w:rsidR="00E6072B" w:rsidRDefault="00E6072B" w:rsidP="00C50292">
      <w:pPr>
        <w:spacing w:line="240" w:lineRule="auto"/>
        <w:jc w:val="center"/>
        <w:rPr>
          <w:rFonts w:ascii="Times New Roman" w:hAnsi="Times New Roman" w:cs="Times New Roman"/>
          <w:sz w:val="24"/>
          <w:szCs w:val="24"/>
        </w:rPr>
      </w:pPr>
    </w:p>
    <w:p w14:paraId="6111CF45" w14:textId="77777777" w:rsidR="00E6072B" w:rsidRDefault="00E6072B" w:rsidP="00C50292">
      <w:pPr>
        <w:spacing w:line="240" w:lineRule="auto"/>
        <w:jc w:val="center"/>
        <w:rPr>
          <w:rFonts w:ascii="Times New Roman" w:hAnsi="Times New Roman" w:cs="Times New Roman"/>
          <w:sz w:val="24"/>
          <w:szCs w:val="24"/>
        </w:rPr>
      </w:pPr>
    </w:p>
    <w:p w14:paraId="034962B6" w14:textId="77777777" w:rsidR="00E6072B" w:rsidRDefault="00E6072B" w:rsidP="00C50292">
      <w:pPr>
        <w:spacing w:line="240" w:lineRule="auto"/>
        <w:jc w:val="center"/>
        <w:rPr>
          <w:rFonts w:ascii="Times New Roman" w:hAnsi="Times New Roman" w:cs="Times New Roman"/>
          <w:sz w:val="24"/>
          <w:szCs w:val="24"/>
        </w:rPr>
      </w:pPr>
    </w:p>
    <w:p w14:paraId="315C8F06" w14:textId="77777777" w:rsidR="00E6072B" w:rsidRDefault="00E6072B" w:rsidP="00C50292">
      <w:pPr>
        <w:spacing w:line="240" w:lineRule="auto"/>
        <w:jc w:val="center"/>
        <w:rPr>
          <w:rFonts w:ascii="Times New Roman" w:hAnsi="Times New Roman" w:cs="Times New Roman"/>
          <w:sz w:val="24"/>
          <w:szCs w:val="24"/>
        </w:rPr>
      </w:pPr>
    </w:p>
    <w:p w14:paraId="46E7A7C8" w14:textId="77777777" w:rsidR="00E6072B" w:rsidRDefault="00E6072B" w:rsidP="00C50292">
      <w:pPr>
        <w:spacing w:line="240" w:lineRule="auto"/>
        <w:jc w:val="center"/>
        <w:rPr>
          <w:rFonts w:ascii="Times New Roman" w:hAnsi="Times New Roman" w:cs="Times New Roman"/>
          <w:sz w:val="24"/>
          <w:szCs w:val="24"/>
        </w:rPr>
      </w:pPr>
    </w:p>
    <w:p w14:paraId="401C82E4" w14:textId="77777777" w:rsidR="00E6072B" w:rsidRDefault="00E6072B" w:rsidP="00C50292">
      <w:pPr>
        <w:spacing w:line="240" w:lineRule="auto"/>
        <w:jc w:val="center"/>
        <w:rPr>
          <w:rFonts w:ascii="Times New Roman" w:hAnsi="Times New Roman" w:cs="Times New Roman"/>
          <w:sz w:val="24"/>
          <w:szCs w:val="24"/>
        </w:rPr>
      </w:pPr>
    </w:p>
    <w:p w14:paraId="20D63980" w14:textId="77777777" w:rsidR="00E6072B" w:rsidRDefault="00E6072B" w:rsidP="00C50292">
      <w:pPr>
        <w:spacing w:line="240" w:lineRule="auto"/>
        <w:jc w:val="center"/>
        <w:rPr>
          <w:rFonts w:ascii="Times New Roman" w:hAnsi="Times New Roman" w:cs="Times New Roman"/>
          <w:sz w:val="24"/>
          <w:szCs w:val="24"/>
        </w:rPr>
      </w:pPr>
    </w:p>
    <w:p w14:paraId="5568A0B7" w14:textId="77777777" w:rsidR="00C50292" w:rsidRPr="00C50292" w:rsidRDefault="00C50292" w:rsidP="00C50292">
      <w:pPr>
        <w:spacing w:line="240" w:lineRule="auto"/>
        <w:jc w:val="center"/>
        <w:rPr>
          <w:rFonts w:ascii="Times New Roman" w:hAnsi="Times New Roman" w:cs="Times New Roman"/>
          <w:sz w:val="24"/>
          <w:szCs w:val="24"/>
        </w:rPr>
      </w:pPr>
      <w:r w:rsidRPr="00C50292">
        <w:rPr>
          <w:rFonts w:ascii="Times New Roman" w:hAnsi="Times New Roman" w:cs="Times New Roman"/>
          <w:sz w:val="24"/>
          <w:szCs w:val="24"/>
        </w:rPr>
        <w:lastRenderedPageBreak/>
        <w:t>Reference</w:t>
      </w:r>
    </w:p>
    <w:p w14:paraId="29EA75AE" w14:textId="77777777" w:rsidR="00C50292" w:rsidRPr="00C50292" w:rsidRDefault="00C50292" w:rsidP="00C50292">
      <w:pPr>
        <w:spacing w:line="240" w:lineRule="auto"/>
        <w:ind w:left="720" w:hanging="720"/>
        <w:rPr>
          <w:rFonts w:ascii="Times New Roman" w:hAnsi="Times New Roman" w:cs="Times New Roman"/>
          <w:sz w:val="24"/>
          <w:szCs w:val="24"/>
        </w:rPr>
      </w:pPr>
      <w:r w:rsidRPr="00C50292">
        <w:rPr>
          <w:rFonts w:ascii="Times New Roman" w:hAnsi="Times New Roman" w:cs="Times New Roman"/>
          <w:color w:val="222222"/>
          <w:sz w:val="24"/>
          <w:szCs w:val="24"/>
          <w:shd w:val="clear" w:color="auto" w:fill="FFFFFF"/>
        </w:rPr>
        <w:t>Roberts, D. J. (2017). Uncertain tax consequences with [section] 1234A: IRC [Section] 1234A is a confusing section that can cause uncertainty in sophisticated tax planning and even in routine compliance. </w:t>
      </w:r>
      <w:r w:rsidRPr="00C50292">
        <w:rPr>
          <w:rFonts w:ascii="Times New Roman" w:hAnsi="Times New Roman" w:cs="Times New Roman"/>
          <w:i/>
          <w:iCs/>
          <w:color w:val="222222"/>
          <w:sz w:val="24"/>
          <w:szCs w:val="24"/>
          <w:shd w:val="clear" w:color="auto" w:fill="FFFFFF"/>
        </w:rPr>
        <w:t>Strategic Finance</w:t>
      </w:r>
      <w:r w:rsidRPr="00C50292">
        <w:rPr>
          <w:rFonts w:ascii="Times New Roman" w:hAnsi="Times New Roman" w:cs="Times New Roman"/>
          <w:color w:val="222222"/>
          <w:sz w:val="24"/>
          <w:szCs w:val="24"/>
          <w:shd w:val="clear" w:color="auto" w:fill="FFFFFF"/>
        </w:rPr>
        <w:t>, </w:t>
      </w:r>
      <w:r w:rsidRPr="00C50292">
        <w:rPr>
          <w:rFonts w:ascii="Times New Roman" w:hAnsi="Times New Roman" w:cs="Times New Roman"/>
          <w:i/>
          <w:iCs/>
          <w:color w:val="222222"/>
          <w:sz w:val="24"/>
          <w:szCs w:val="24"/>
          <w:shd w:val="clear" w:color="auto" w:fill="FFFFFF"/>
        </w:rPr>
        <w:t>98</w:t>
      </w:r>
      <w:r w:rsidRPr="00C50292">
        <w:rPr>
          <w:rFonts w:ascii="Times New Roman" w:hAnsi="Times New Roman" w:cs="Times New Roman"/>
          <w:color w:val="222222"/>
          <w:sz w:val="24"/>
          <w:szCs w:val="24"/>
          <w:shd w:val="clear" w:color="auto" w:fill="FFFFFF"/>
        </w:rPr>
        <w:t>(12), 17-19.</w:t>
      </w:r>
    </w:p>
    <w:sectPr w:rsidR="00C50292" w:rsidRPr="00C50292" w:rsidSect="00C5029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EAB89D" w14:textId="77777777" w:rsidR="00E719E3" w:rsidRDefault="00E719E3" w:rsidP="00C50292">
      <w:pPr>
        <w:spacing w:after="0" w:line="240" w:lineRule="auto"/>
      </w:pPr>
      <w:r>
        <w:separator/>
      </w:r>
    </w:p>
  </w:endnote>
  <w:endnote w:type="continuationSeparator" w:id="0">
    <w:p w14:paraId="1101E681" w14:textId="77777777" w:rsidR="00E719E3" w:rsidRDefault="00E719E3" w:rsidP="00C50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BE53AF" w14:textId="77777777" w:rsidR="00E719E3" w:rsidRDefault="00E719E3" w:rsidP="00C50292">
      <w:pPr>
        <w:spacing w:after="0" w:line="240" w:lineRule="auto"/>
      </w:pPr>
      <w:r>
        <w:separator/>
      </w:r>
    </w:p>
  </w:footnote>
  <w:footnote w:type="continuationSeparator" w:id="0">
    <w:p w14:paraId="30385646" w14:textId="77777777" w:rsidR="00E719E3" w:rsidRDefault="00E719E3" w:rsidP="00C502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BB82C" w14:textId="77777777" w:rsidR="00C50292" w:rsidRDefault="00C50292" w:rsidP="00C50292">
    <w:pPr>
      <w:pStyle w:val="Header"/>
      <w:tabs>
        <w:tab w:val="left" w:pos="2282"/>
      </w:tabs>
    </w:pPr>
    <w:r w:rsidRPr="00C50292">
      <w:rPr>
        <w:rFonts w:ascii="Times New Roman" w:hAnsi="Times New Roman" w:cs="Times New Roman"/>
        <w:sz w:val="24"/>
        <w:szCs w:val="24"/>
      </w:rPr>
      <w:t>INTERNAL REVENUE CODES</w:t>
    </w:r>
    <w:r>
      <w:tab/>
    </w:r>
    <w:r>
      <w:tab/>
    </w:r>
    <w:r>
      <w:fldChar w:fldCharType="begin"/>
    </w:r>
    <w:r>
      <w:instrText xml:space="preserve"> PAGE   \* MERGEFORMAT </w:instrText>
    </w:r>
    <w:r>
      <w:fldChar w:fldCharType="separate"/>
    </w:r>
    <w:r w:rsidR="00E6072B">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FF164" w14:textId="77777777" w:rsidR="00C50292" w:rsidRDefault="00C50292">
    <w:pPr>
      <w:pStyle w:val="Header"/>
    </w:pPr>
    <w:r w:rsidRPr="00C50292">
      <w:rPr>
        <w:rFonts w:ascii="Times New Roman" w:hAnsi="Times New Roman" w:cs="Times New Roman"/>
        <w:sz w:val="24"/>
        <w:szCs w:val="24"/>
      </w:rPr>
      <w:t xml:space="preserve">Running head: </w:t>
    </w:r>
    <w:r>
      <w:rPr>
        <w:rFonts w:ascii="Times New Roman" w:hAnsi="Times New Roman" w:cs="Times New Roman"/>
        <w:sz w:val="24"/>
        <w:szCs w:val="24"/>
      </w:rPr>
      <w:t>INTERNAL REVENUE CODES</w:t>
    </w:r>
    <w:r w:rsidRPr="00C50292">
      <w:rPr>
        <w:rFonts w:ascii="Times New Roman" w:hAnsi="Times New Roman" w:cs="Times New Roman"/>
        <w:sz w:val="24"/>
        <w:szCs w:val="24"/>
      </w:rPr>
      <w:tab/>
    </w:r>
    <w:r>
      <w:fldChar w:fldCharType="begin"/>
    </w:r>
    <w:r>
      <w:instrText xml:space="preserve"> PAGE   \* MERGEFORMAT </w:instrText>
    </w:r>
    <w:r>
      <w:fldChar w:fldCharType="separate"/>
    </w:r>
    <w:r w:rsidR="00E6072B">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832"/>
    <w:rsid w:val="001B4815"/>
    <w:rsid w:val="001D3891"/>
    <w:rsid w:val="002A571C"/>
    <w:rsid w:val="00392D64"/>
    <w:rsid w:val="003B5C8E"/>
    <w:rsid w:val="00403D75"/>
    <w:rsid w:val="004715A3"/>
    <w:rsid w:val="005919EB"/>
    <w:rsid w:val="006A0176"/>
    <w:rsid w:val="007F154E"/>
    <w:rsid w:val="00873832"/>
    <w:rsid w:val="009D5B5C"/>
    <w:rsid w:val="00A91FBA"/>
    <w:rsid w:val="00B00AB9"/>
    <w:rsid w:val="00BA79FF"/>
    <w:rsid w:val="00C04BD9"/>
    <w:rsid w:val="00C23C7D"/>
    <w:rsid w:val="00C50292"/>
    <w:rsid w:val="00CD3139"/>
    <w:rsid w:val="00CD476E"/>
    <w:rsid w:val="00DA213A"/>
    <w:rsid w:val="00E6072B"/>
    <w:rsid w:val="00E719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3AEC2"/>
  <w15:chartTrackingRefBased/>
  <w15:docId w15:val="{9C81703A-FAD7-42B1-BE76-B0E4A971D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2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0292"/>
  </w:style>
  <w:style w:type="paragraph" w:styleId="Footer">
    <w:name w:val="footer"/>
    <w:basedOn w:val="Normal"/>
    <w:link w:val="FooterChar"/>
    <w:uiPriority w:val="99"/>
    <w:unhideWhenUsed/>
    <w:rsid w:val="00C502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0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dc:creator>
  <cp:keywords/>
  <dc:description/>
  <cp:lastModifiedBy>Captain101</cp:lastModifiedBy>
  <cp:revision>2</cp:revision>
  <dcterms:created xsi:type="dcterms:W3CDTF">2018-11-19T18:01:00Z</dcterms:created>
  <dcterms:modified xsi:type="dcterms:W3CDTF">2018-11-19T18:01:00Z</dcterms:modified>
</cp:coreProperties>
</file>